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EA8" w:rsidRPr="00AF2EA8" w:rsidRDefault="00AF2EA8" w:rsidP="00AF2EA8">
      <w:pPr>
        <w:pBdr>
          <w:bottom w:val="single" w:sz="12" w:space="0" w:color="B0C4DE"/>
        </w:pBdr>
        <w:spacing w:after="0" w:line="480" w:lineRule="atLeast"/>
        <w:outlineLvl w:val="0"/>
        <w:rPr>
          <w:rFonts w:ascii="Georgia" w:eastAsia="Times New Roman" w:hAnsi="Georgia" w:cs="Segoe UI"/>
          <w:color w:val="000000"/>
          <w:kern w:val="36"/>
          <w:sz w:val="36"/>
          <w:szCs w:val="36"/>
          <w:lang w:eastAsia="ro-RO"/>
        </w:rPr>
      </w:pPr>
      <w:r w:rsidRPr="00AF2EA8">
        <w:rPr>
          <w:rFonts w:ascii="Georgia" w:eastAsia="Times New Roman" w:hAnsi="Georgia" w:cs="Segoe UI"/>
          <w:color w:val="000000"/>
          <w:kern w:val="36"/>
          <w:sz w:val="36"/>
          <w:szCs w:val="36"/>
          <w:lang w:eastAsia="ro-RO"/>
        </w:rPr>
        <w:t>Hotărârea nr.26 din 2002 privind liberul acces la informațiile de interes public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HOTĂRÂRE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 xml:space="preserve">privind liberul acces la </w:t>
      </w:r>
      <w:proofErr w:type="spellStart"/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informaţiilor</w:t>
      </w:r>
      <w:proofErr w:type="spellEnd"/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 xml:space="preserve"> de interes public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Consiliul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Ialomiţa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,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Având în vedere: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- prevederile Legii nr. 544 din 12 octombrie 2001 privind liberul acces la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interes public;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- prevederile art. 104 alin. 2 din Legea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administraţiei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publice locale nr. 215/2001.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Examinând: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- expunerea de motive nr. 871 din 27.02.2002 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Preşedintelui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Consiliului 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- raportul nr. 830 din 27.02.2002 al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Direcţiei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Coordonare Organizare;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- nota de fundamentare nr. 1237 din 25.03.2002 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Delegaţiei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Permanente a Consiliului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Ialomiţa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- avizul nr. 1039 din 7.03.2002 al Comisiei pentru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Administraţie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Publică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Juridică;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- În temeiul art. 109 alin. 1 din Legea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administraţiei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publice locale nr. 215/2001,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HOTĂRĂŞTE: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Art. 1.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 Accesul oricărei persoane fizice sau juridice, la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interes public, produse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/ gestionate de Consiliul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Ialomiţa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se face din oficiu sau la cerere, formulată în scris sau verbal.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Art. 2.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 Consiliul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Ialomiţa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are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obligaţia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să comunice din oficiu următoarele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interes public: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a)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actele normative care reglementează organizarea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funcţionarea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consiliului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, a consiliilor locale, 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instituţiilor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publice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societăţilor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comerciale de sub autoritatea sa;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b)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structura organizatorică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atribuţiile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serviciilor organizate în cadrul aparatului propriu al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instituţiilor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publice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societăţilor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comerciale de sub autoritatea consiliului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, programul de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funcţionare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programul de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audienţe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c)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numele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prenumele persoanelor din conducerea din consiliului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, 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instituţiilor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publice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societăţilor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comerciale de sub autoritatea sa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funcţionarului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responsabil cu difuzarea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informaţiilor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publice;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d)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coordonatele de contact ale consiliului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: denumirea, sediul, numerele de telefon, fax, adresa de e-mail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adresa paginii de internet; </w:t>
      </w: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e)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sursele financiare, bugetul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contul de încheiere 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exerciţiului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bugetar;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f)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 programele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strategiile proprii;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g)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lista cuprinzând categoriile de documente produse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/sau gestionate potrivit legii;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h)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modalităţile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contestare a deciziei consiliului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în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situaţia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în care persoana se consideră vătămată în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privinţa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dreptului de acces la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interes public solicitate.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prevăzute în prezentul articol vor fi aduse la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cunoştinţa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publicului prin publicarea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actualizarea anuală a unui buletin informativ.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lastRenderedPageBreak/>
        <w:t>Art. 3.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 Accesul la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prevăzute în articolul precedent se realizează prin una din următoarele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modalităţi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: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a)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afişare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la sediul Consiliului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Ialomiţa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b)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publicare în mijloacele de informare în masă;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c)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publicare în Monitorul Oficial al României sau în Monitorul Oficial al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judeţului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Ialomiţa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d)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publicare în pagini de internet proprie;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e)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consultarea lor la sediul Consiliului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Ialomiţa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Art. 4.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 Solicitarea în scris 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informaţiilor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interes public, trebuie să cuprindă următoarele elemente: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a)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autoritatea sau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instituţia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publică la care se adresează cererea;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b)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solicitată, astfel formulată încât să permită identificarea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informaţiei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publice;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c)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numele, prenumele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semnătura solicitantului precum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adresa la care se solicită primirea răspunsului.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Art. 5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 Pentru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solicitate verbal,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funcţionarii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din cadrul Serviciului Informare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Relaţii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Publice,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Petiţii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au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obligaţia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să precizeze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condiţiile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formele în care are loc accesul la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publice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pot furniza pe loc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solicitate. În cazul în care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solicitate nu sunt disponibile pe loc, persoana este îndrumată să solicite în scris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interes public, urmând ca cererea să fie rezolvată la termenele prevăzute de lege.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interes public solicitate verbal se pot comunica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în cadrul programului de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audienţe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organizat prin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dispoziţia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preşedintelui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consiliului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.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interes public solicitate verbal de către mijloacele de informare în masă vor fi comunicate, de regulă, imediat sau în cel mult 24 de ore.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Art. 6.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 Se exceptează de la accesul liber al persoanelor următoarele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a)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privind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activităţile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financiare sau comerciale, dacă publicitatea acestora aduce atingere principiului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concurenţei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loiale potrivit legii;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b)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privind datele personale, potrivit legii;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c)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a căror publicare prejudiciază măsurile de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protecţie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a copiilor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tinerilor.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cu privire la datele personale ale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cetăţeanului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pot deveni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interes public numai în măsura în care afectează capacitatea de exercitare a unei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funcţii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publice.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Art. 7.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 Aprobă lista cuprinzând categoriile de documente produse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/sau gestionate de consiliul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care constituie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interes public altele decât cete prevăzute în art. 2 din prezenta hotărâre, conform anexei nr. 1 care face parte integrantă din prezenta hotărâre.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Art. 8.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 Consiliul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Ialomiţa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pune gratuit la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dispoziţia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persoanelor interesate formulare tip pentru cereri privind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interes public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reclamaţii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administrative.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Art. 9.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 Pentru asigurarea accesului oricărei persoane la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interes public, Serviciul Informare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Relaţii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publice,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Petiţii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va exercita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atribuţiile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prevăzute în anexa nr. 2 care face parte integrantă din prezenta hotărâre. În Cadrul Serviciului Informare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Relaţii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publice,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Petiţii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se organizează un punct de informare-documentare destinat accesului publicului la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interes public furnizate din oficiu.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Art. 10.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 Serviciul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Relaţii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Publice,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Petiţii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întocmeşte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anual un raport privind accesul la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interes public care va cuprinde: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a)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 numărul total de solicitări de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interes public;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b)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numărul total de solicitări, departajat pe domenii de interes;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lastRenderedPageBreak/>
        <w:t>c)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numărul de solicitări rezolvate favorabil;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d)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numărul de solicitări respinse, defalcat în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funcţie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motivaţia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respingerii (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exceptate de la acces, inexistente, etc.)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e)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numărul de solicitări adresate în scris: 1. pe suport de hârtie; 2. pe suport electronic;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f)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numărul de solicitări adresate de persoane fizice;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g)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numărul de solicitări adresate de persoane juridice;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h)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numărul de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reclamaţii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administrative: 1. rezolvate favorabil; 2. respinse; </w:t>
      </w: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i)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numărul de plângeri în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instanţă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: 1. rezolvate favorabil; 2. respinse, 3. în curs de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soluţionare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j)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costurile totale ale compartimentului de informare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relaţii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publice;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k)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sumele totale încasate pentru serviciile de copiere 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informaţiilor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interes public solicitate;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l)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numărul estimativ de vizitatori ai punctului de informare-documentare. Raportul este adresat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Preşedintelui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Consiliului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Ialomiţa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publicat în Monitorul Oficial al României, Partea a II-a.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Art. 11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. Se aprobă desemnarea domnului Gheorghe Dobre ca purtător de cuvânt al Consiliului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Ialomiţa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Art. 12.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 În cazul în care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obţinerea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unei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interes public implică realizarea de copii după documentele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deţinute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consiliul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, costul serviciilor de copiere se suportă de solicitant.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Art. 13.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 Taxele pentru realizarea de copii după documente se stabilesc după cum urmează: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a)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xeroxarea unei pagini de format A4: 1.500 lei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b)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xeroxarea unei file de format A4: 2.500 lei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c)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xeroxarea unor file de format A3: 4.000 lei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Art. 14.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 Consiliul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Ialomiţa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împuterniceşte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preşedintele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acestuia să acorde acreditare, fără nici un fel de discriminare,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ziariştilor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reprezentanţilor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mijloacelor de informare în masă, la cererea acestora, în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condiţiile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legii.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Art. 16.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 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Direcţiile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specialitate ale Consiliului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Ialomiţa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, Serviciul Informare,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Relaţii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publice,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Petiţii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persoana nominalizată la art. 11 vor duce la îndeplinire prevederile prezentei hotărâri.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PREŞEDINTE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 </w:t>
      </w:r>
      <w:r w:rsidRPr="00AF2EA8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ro-RO"/>
        </w:rPr>
        <w:t>Gheorghe SAVU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CONTRASEMNEAZĂ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SECRETAR GENERAL AL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 </w:t>
      </w: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JUDEŢULUI IALOMIŢA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ro-RO"/>
        </w:rPr>
        <w:t>Constantin STOENESCU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Nr. 26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Adoptată la Slobozia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Astăzi 27.03.2002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 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lastRenderedPageBreak/>
        <w:t>Anexa nr. 1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La hotărârea nr. 26 din 27.03.2002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LISTĂ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 </w:t>
      </w: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 xml:space="preserve">cuprinzând categoriile de documente produse </w:t>
      </w:r>
      <w:proofErr w:type="spellStart"/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 xml:space="preserve">/gestionate de Consiliul </w:t>
      </w:r>
      <w:proofErr w:type="spellStart"/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 xml:space="preserve"> care constituie </w:t>
      </w:r>
      <w:proofErr w:type="spellStart"/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informaţii</w:t>
      </w:r>
      <w:proofErr w:type="spellEnd"/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 xml:space="preserve"> de interes public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Categoria documentului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1.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Hotărâri ale Consiliului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Ialomiţa</w:t>
      </w:r>
      <w:proofErr w:type="spellEnd"/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2.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Evidenţa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componenţei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consiliilor locale – nominală, numerică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partidică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3.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Documentele referitoare la organizarea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desfăşurarea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referendumurilor pe plan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plan local.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4.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Instrucţiuni, norme tehnice, regulamente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circulare cu caracter dispozitiv primite de la organele centrale ale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administraţiei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publice.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5.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Studii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propuneri privind organizarea administrativ-teritorială, schimbarea unor denumiri de străzi,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pieţe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publice, obiective istorice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turistice, etc.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6.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Date statistice privind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corespondenţa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la registratura generală;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7.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Propuneri, sesizări,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reclamaţii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ale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cetăţenilor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împreună cu întreaga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documentaţie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8.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Rapoartele misiunilor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internaţionale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9.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Programe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strategii promovate în cadrul acordurilor, parteneriatelor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înfrăţirilor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cu parteneri externi.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10.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Dosar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relaţii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cu partide politice (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formaţiuni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politice), sindicate,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organizaţii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neguvernamentale.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11.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Dări de seamă contabile.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12.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Situaţii privind urmărirea realizării programelor de dezvoltare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economico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-socială la nivelul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judeţului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13.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Statele de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funcţii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pentru aparatul propriu de specialitate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instituţiilor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din subordinea Consiliului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Ialomiţa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14.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Documentaţii de urbanism aprobate de consiliile locale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consiliul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15.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Evidenţa nomenclatoarelor istorice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lucrărilor referitoare la protejarea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conservarea acestora.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16.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Evidenţa eliberării certificatelor de urbanism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autorizaţiilor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construire –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desfiinţare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17.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Rapoarte, informări, sinteze referitoare la controlul privind activitatea de urbanism.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18.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Proiecte, avize privind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finanţarea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executarea obiectivelor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socio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-culturale.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19.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Planul Urbanistic General, Planul Urbanistic Zonal, Planul Urbanistic de Detaliu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studii aferente elaborate de consiliile locale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consiliul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20.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Studii, rapoarte, avize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alte acte referitoare la atribuirea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schimbarea de denumiri ale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unităţilor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administrativ-teritoriale, ale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localităţilor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componente,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evidenţa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denumirilor.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21.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Planul de Amenajare a Teritoriului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studiile aferente elaborate de consiliile locale.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22.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Anunţ (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invitaţie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) de participare la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licitaţie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lastRenderedPageBreak/>
        <w:t>23.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Documentaţie pentru elaborarea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prezentarea ofertei.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24.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Anunţ atribuire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achiziţie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publică.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25.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Rapoarte de audit.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 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Anexa nr. 2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la Hotărârea nr. 26 din 27.03.20022002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proofErr w:type="spellStart"/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Atribuţiile</w:t>
      </w:r>
      <w:proofErr w:type="spellEnd"/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 xml:space="preserve"> Serviciului Informare </w:t>
      </w:r>
      <w:proofErr w:type="spellStart"/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Relaţii</w:t>
      </w:r>
      <w:proofErr w:type="spellEnd"/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 xml:space="preserve"> publice, </w:t>
      </w:r>
      <w:proofErr w:type="spellStart"/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Petiţii</w:t>
      </w:r>
      <w:proofErr w:type="spellEnd"/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 xml:space="preserve"> cu privire la asigurarea liberului acces la </w:t>
      </w:r>
      <w:proofErr w:type="spellStart"/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informaţiile</w:t>
      </w:r>
      <w:proofErr w:type="spellEnd"/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 xml:space="preserve"> de interes public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1.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Precizează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solicitanţilor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condiţiile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formele în care are loc accesul la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publice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poate furniza pe loc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solicitate dacă este posibil;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2.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Primeşte solicitările scrise cu privire la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interes public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verifică dacă acestea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conţin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elementele prevăzute la art. 4 din hotărâre;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3.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Şeful serviciului identifică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interes public solicitată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fie formulează răspunsul fie îndreaptă cererea către compartimentul în a cărui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competenţă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se află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solicitată;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4.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Şeful serviciului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urmăreşte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ca solicitărilor formulate în scris cu privire la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interes public, să se răspundă în termen de 1 zile sau, după caz, în cel mult 30 de zile de la înregistrarea solicitării, în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funcţie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dificultatea, complexitatea, volumul lucrărilor de documentare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urgenţa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solicitării. În cazul în care durata necesară pentru identificarea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difuzarea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informaţiei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solicitate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depăşeşte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10 zile, răspunsul va fi comunicat solicitantului în maxim 30 de zile, cu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condiţia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înştiinţării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acestuia în scris despre acest fapt în termen de 10 zile;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5.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În cazul refuzului comunicării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informaţiilor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şeful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serviciului va asigura motivarea refuzului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comunicarea acestuia către solicitant în termen de 5 zile de la primirea cererii;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6.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În cazul în care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solicitată este deja comunicată din oficiu, se asigură de îndată, dar nu mai târziu de 5 zile, informarea solicitantului despre acest lucru, precum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sursa unde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solicitată poate fi găsită;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7.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Asigură realizarea de copii de pe documentele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deţinute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Consiliul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Ialomiţa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dacă solicitarea de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implică acest lucru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se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îngrijeşte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ca solicitantul să achite taxele prevăzute la art. 13 din hotărâre;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8.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Asigură publicarea buletinului informativ prevăzut la art. 2, alin. 2 din hotărâre;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9.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Întocmeşte raportul periodic de activitate al Consiliului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Ialomiţa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cu privire la asigurarea liberului acces la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interes public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asigură publicarea acestuia în Monitorul Oficial al României, Partea a II-a;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10.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Asigură disponibilitatea în format scris (la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afişier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, sub formă de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broşuri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sau electronic-dischete, CD, pagina de internet) 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informaţiilor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comunicate din oficiu;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11.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Furnizează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ziariştilor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, prompt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complet,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informaţiile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interes public care privesc activitatea Consiliului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Ialomiţa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12.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Informează în timp util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şi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asigură accesul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ziariştilor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la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conferinţele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presă sau alte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acţiuni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de interes public organizate de Consiliul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Ialomiţa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;</w:t>
      </w:r>
    </w:p>
    <w:p w:rsidR="00AF2EA8" w:rsidRPr="00AF2EA8" w:rsidRDefault="00AF2EA8" w:rsidP="00AF2EA8">
      <w:pPr>
        <w:spacing w:before="240" w:after="24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</w:pPr>
      <w:r w:rsidRPr="00AF2EA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o-RO"/>
        </w:rPr>
        <w:t>13.</w:t>
      </w:r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Difuzează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ziariştilor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dosare de presă legate de evenimente sau de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activităţi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ale Consiliului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Judeţean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 xml:space="preserve"> </w:t>
      </w:r>
      <w:proofErr w:type="spellStart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Ialomiţa</w:t>
      </w:r>
      <w:proofErr w:type="spellEnd"/>
      <w:r w:rsidRPr="00AF2EA8">
        <w:rPr>
          <w:rFonts w:ascii="Segoe UI" w:eastAsia="Times New Roman" w:hAnsi="Segoe UI" w:cs="Segoe UI"/>
          <w:color w:val="000000"/>
          <w:sz w:val="18"/>
          <w:szCs w:val="18"/>
          <w:lang w:eastAsia="ro-RO"/>
        </w:rPr>
        <w:t>.</w:t>
      </w:r>
    </w:p>
    <w:p w:rsidR="008A2A16" w:rsidRDefault="008A2A16">
      <w:bookmarkStart w:id="0" w:name="_GoBack"/>
      <w:bookmarkEnd w:id="0"/>
    </w:p>
    <w:sectPr w:rsidR="008A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A8"/>
    <w:rsid w:val="008A2A16"/>
    <w:rsid w:val="00A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F72B4-0D9E-40FD-98A6-147B1D3C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AF2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AF2EA8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AF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AF2EA8"/>
    <w:rPr>
      <w:b/>
      <w:bCs/>
    </w:rPr>
  </w:style>
  <w:style w:type="character" w:styleId="Accentuat">
    <w:name w:val="Emphasis"/>
    <w:basedOn w:val="Fontdeparagrafimplicit"/>
    <w:uiPriority w:val="20"/>
    <w:qFormat/>
    <w:rsid w:val="00AF2E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0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2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1930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2019-09-26T12:11:00Z</dcterms:created>
  <dcterms:modified xsi:type="dcterms:W3CDTF">2019-09-26T12:12:00Z</dcterms:modified>
</cp:coreProperties>
</file>